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33" w:rsidRPr="00FD1E11" w:rsidRDefault="00065E33" w:rsidP="00065E33">
      <w:pPr>
        <w:pStyle w:val="Heading4"/>
        <w:shd w:val="clear" w:color="auto" w:fill="FFFFFF"/>
        <w:spacing w:before="105" w:beforeAutospacing="0" w:after="105" w:afterAutospacing="0" w:line="330" w:lineRule="atLeast"/>
        <w:textAlignment w:val="baseline"/>
        <w:rPr>
          <w:sz w:val="26"/>
          <w:szCs w:val="26"/>
        </w:rPr>
      </w:pPr>
      <w:r w:rsidRPr="00FD1E11">
        <w:rPr>
          <w:sz w:val="26"/>
          <w:szCs w:val="26"/>
        </w:rPr>
        <w:t>Công bố cơ sở đủ điều kiện tiêm chủng</w:t>
      </w:r>
    </w:p>
    <w:p w:rsidR="00065E33" w:rsidRPr="00FD1E11" w:rsidRDefault="00065E33" w:rsidP="00065E33">
      <w:pPr>
        <w:numPr>
          <w:ilvl w:val="0"/>
          <w:numId w:val="1"/>
        </w:numPr>
        <w:shd w:val="clear" w:color="auto" w:fill="FFFFFF"/>
        <w:spacing w:after="0" w:line="240" w:lineRule="auto"/>
        <w:ind w:left="0" w:right="45"/>
        <w:textAlignment w:val="baseline"/>
        <w:rPr>
          <w:rFonts w:ascii="Times New Roman" w:hAnsi="Times New Roman" w:cs="Times New Roman"/>
          <w:b/>
          <w:bCs/>
          <w:sz w:val="26"/>
          <w:szCs w:val="26"/>
        </w:rPr>
      </w:pPr>
      <w:r w:rsidRPr="00FD1E11">
        <w:rPr>
          <w:rFonts w:ascii="Times New Roman" w:hAnsi="Times New Roman" w:cs="Times New Roman"/>
          <w:b/>
          <w:bCs/>
          <w:sz w:val="26"/>
          <w:szCs w:val="26"/>
        </w:rPr>
        <w:t>Thông tin</w:t>
      </w:r>
    </w:p>
    <w:tbl>
      <w:tblPr>
        <w:tblW w:w="13384" w:type="dxa"/>
        <w:tblInd w:w="-8" w:type="dxa"/>
        <w:tblCellMar>
          <w:left w:w="0" w:type="dxa"/>
          <w:right w:w="0" w:type="dxa"/>
        </w:tblCellMar>
        <w:tblLook w:val="04A0" w:firstRow="1" w:lastRow="0" w:firstColumn="1" w:lastColumn="0" w:noHBand="0" w:noVBand="1"/>
      </w:tblPr>
      <w:tblGrid>
        <w:gridCol w:w="18"/>
        <w:gridCol w:w="1684"/>
        <w:gridCol w:w="11273"/>
        <w:gridCol w:w="20"/>
        <w:gridCol w:w="250"/>
        <w:gridCol w:w="119"/>
        <w:gridCol w:w="20"/>
      </w:tblGrid>
      <w:tr w:rsidR="00065E33" w:rsidRPr="00FD1E11" w:rsidTr="00065E33">
        <w:trPr>
          <w:gridAfter w:val="4"/>
          <w:wAfter w:w="409" w:type="dxa"/>
        </w:trPr>
        <w:tc>
          <w:tcPr>
            <w:tcW w:w="1702"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center"/>
            <w:hideMark/>
          </w:tcPr>
          <w:p w:rsidR="00065E33" w:rsidRPr="00FD1E11" w:rsidRDefault="00065E33"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Trình tự thực hiện</w:t>
            </w:r>
          </w:p>
        </w:tc>
        <w:tc>
          <w:tcPr>
            <w:tcW w:w="112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pStyle w:val="NormalWeb"/>
              <w:spacing w:before="0" w:beforeAutospacing="0" w:after="0" w:afterAutospacing="0" w:line="240" w:lineRule="atLeast"/>
              <w:textAlignment w:val="baseline"/>
              <w:rPr>
                <w:sz w:val="26"/>
                <w:szCs w:val="26"/>
              </w:rPr>
            </w:pPr>
            <w:r w:rsidRPr="00FD1E11">
              <w:rPr>
                <w:rStyle w:val="Strong"/>
                <w:sz w:val="26"/>
                <w:szCs w:val="26"/>
                <w:bdr w:val="none" w:sz="0" w:space="0" w:color="auto" w:frame="1"/>
              </w:rPr>
              <w:t>Bước 1.</w:t>
            </w:r>
            <w:r w:rsidRPr="00FD1E11">
              <w:rPr>
                <w:sz w:val="26"/>
                <w:szCs w:val="26"/>
              </w:rPr>
              <w:t> Trước khi thực hiện hoạt động tiêm chủng, cơ sở tiêm chủng phải gửi văn bản thông báo đủ điều kiện tiêm chủng theo mẫu tại Phụ lục I ban hành kèm theo Nghị định số 104/2016/NĐ-CP ngày 01/7/2016 cho Sở Y tế nơi cơ sở tiêm chủng đặt trụ sở.</w:t>
            </w:r>
          </w:p>
          <w:p w:rsidR="00065E33" w:rsidRPr="00FD1E11" w:rsidRDefault="00065E33" w:rsidP="003C3C20">
            <w:pPr>
              <w:spacing w:line="240" w:lineRule="atLeast"/>
              <w:rPr>
                <w:rFonts w:ascii="Times New Roman" w:hAnsi="Times New Roman" w:cs="Times New Roman"/>
                <w:sz w:val="26"/>
                <w:szCs w:val="26"/>
              </w:rPr>
            </w:pPr>
            <w:r w:rsidRPr="00FD1E11">
              <w:rPr>
                <w:rStyle w:val="Strong"/>
                <w:rFonts w:ascii="Times New Roman" w:hAnsi="Times New Roman" w:cs="Times New Roman"/>
                <w:sz w:val="26"/>
                <w:szCs w:val="26"/>
                <w:bdr w:val="none" w:sz="0" w:space="0" w:color="auto" w:frame="1"/>
              </w:rPr>
              <w:t>Bước 2.</w:t>
            </w:r>
            <w:r w:rsidRPr="00FD1E11">
              <w:rPr>
                <w:rFonts w:ascii="Times New Roman" w:hAnsi="Times New Roman" w:cs="Times New Roman"/>
                <w:sz w:val="26"/>
                <w:szCs w:val="26"/>
              </w:rPr>
              <w:t> Trong thời hạn 03 ngày làm việc, kể từ ngày nhận được thông báo đủ điều kiện tiêm chủng, Sở Y tế phải đăng tải thông tin về tên, địa chỉ, người đứng đầu cơ sở đã công bố đủ điều kiện tiêm chủng trên Trang thông tin điện tử của Sở Y tế (thời điểm tính ngày phải công bố thông tin được xác định theo dấu công văn đến của Sở Y tế).</w:t>
            </w:r>
          </w:p>
        </w:tc>
      </w:tr>
      <w:tr w:rsidR="00065E33" w:rsidRPr="00FD1E11" w:rsidTr="00065E33">
        <w:trPr>
          <w:gridAfter w:val="4"/>
          <w:wAfter w:w="409" w:type="dxa"/>
        </w:trPr>
        <w:tc>
          <w:tcPr>
            <w:tcW w:w="1702"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Cách thức thực hiện</w:t>
            </w:r>
          </w:p>
        </w:tc>
        <w:tc>
          <w:tcPr>
            <w:tcW w:w="112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Gửi qua đường bưu điện hoặc nộp trực tiếp</w:t>
            </w:r>
          </w:p>
        </w:tc>
      </w:tr>
      <w:tr w:rsidR="00065E33" w:rsidRPr="00FD1E11" w:rsidTr="00065E33">
        <w:trPr>
          <w:gridAfter w:val="4"/>
          <w:wAfter w:w="409" w:type="dxa"/>
        </w:trPr>
        <w:tc>
          <w:tcPr>
            <w:tcW w:w="1702"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Thành phần hồ sơ</w:t>
            </w:r>
          </w:p>
        </w:tc>
        <w:tc>
          <w:tcPr>
            <w:tcW w:w="112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10710" w:type="dxa"/>
              <w:tblCellMar>
                <w:left w:w="0" w:type="dxa"/>
                <w:right w:w="0" w:type="dxa"/>
              </w:tblCellMar>
              <w:tblLook w:val="04A0" w:firstRow="1" w:lastRow="0" w:firstColumn="1" w:lastColumn="0" w:noHBand="0" w:noVBand="1"/>
            </w:tblPr>
            <w:tblGrid>
              <w:gridCol w:w="854"/>
              <w:gridCol w:w="7966"/>
              <w:gridCol w:w="1033"/>
              <w:gridCol w:w="857"/>
            </w:tblGrid>
            <w:tr w:rsidR="00065E33" w:rsidRPr="00FD1E11" w:rsidTr="003C3C20">
              <w:tc>
                <w:tcPr>
                  <w:tcW w:w="85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STT</w:t>
                  </w:r>
                </w:p>
              </w:tc>
              <w:tc>
                <w:tcPr>
                  <w:tcW w:w="7966"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Loại giấy tờ</w:t>
                  </w:r>
                </w:p>
              </w:tc>
              <w:tc>
                <w:tcPr>
                  <w:tcW w:w="1033"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Mẫu đơn, tờ khai</w:t>
                  </w:r>
                </w:p>
              </w:tc>
              <w:tc>
                <w:tcPr>
                  <w:tcW w:w="85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Số lượng</w:t>
                  </w:r>
                </w:p>
              </w:tc>
            </w:tr>
            <w:tr w:rsidR="00065E33" w:rsidRPr="00FD1E11" w:rsidTr="003C3C20">
              <w:tc>
                <w:tcPr>
                  <w:tcW w:w="85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1</w:t>
                  </w:r>
                </w:p>
              </w:tc>
              <w:tc>
                <w:tcPr>
                  <w:tcW w:w="796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Văn bản thông báo đủ điều kiện tiêm chủng theo mẫu quy định tại Phụ lục ban hành kèm theo Nghị định số 104/2016/NĐ-CP ngày 01/7/2016.</w:t>
                  </w:r>
                </w:p>
              </w:tc>
              <w:tc>
                <w:tcPr>
                  <w:tcW w:w="103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p>
              </w:tc>
              <w:tc>
                <w:tcPr>
                  <w:tcW w:w="8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p>
              </w:tc>
            </w:tr>
          </w:tbl>
          <w:p w:rsidR="00065E33" w:rsidRPr="00FD1E11" w:rsidRDefault="00065E33" w:rsidP="003C3C20">
            <w:pPr>
              <w:spacing w:line="240" w:lineRule="atLeast"/>
              <w:rPr>
                <w:rFonts w:ascii="Times New Roman" w:hAnsi="Times New Roman" w:cs="Times New Roman"/>
                <w:sz w:val="26"/>
                <w:szCs w:val="26"/>
              </w:rPr>
            </w:pPr>
          </w:p>
        </w:tc>
      </w:tr>
      <w:tr w:rsidR="00065E33" w:rsidRPr="00FD1E11" w:rsidTr="00065E33">
        <w:trPr>
          <w:gridAfter w:val="4"/>
          <w:wAfter w:w="409" w:type="dxa"/>
        </w:trPr>
        <w:tc>
          <w:tcPr>
            <w:tcW w:w="1702"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Số bộ hồ sơ</w:t>
            </w:r>
          </w:p>
        </w:tc>
        <w:tc>
          <w:tcPr>
            <w:tcW w:w="112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01 bộ</w:t>
            </w:r>
          </w:p>
        </w:tc>
      </w:tr>
      <w:tr w:rsidR="00065E33" w:rsidRPr="00FD1E11" w:rsidTr="00065E33">
        <w:trPr>
          <w:gridAfter w:val="1"/>
          <w:wAfter w:w="20" w:type="dxa"/>
        </w:trPr>
        <w:tc>
          <w:tcPr>
            <w:tcW w:w="1702"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Phí</w:t>
            </w:r>
          </w:p>
        </w:tc>
        <w:tc>
          <w:tcPr>
            <w:tcW w:w="112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c>
          <w:tcPr>
            <w:tcW w:w="270" w:type="dxa"/>
            <w:gridSpan w:val="2"/>
            <w:vAlign w:val="bottom"/>
            <w:hideMark/>
          </w:tcPr>
          <w:p w:rsidR="00065E33" w:rsidRPr="00FD1E11" w:rsidRDefault="00065E33" w:rsidP="003C3C20">
            <w:pPr>
              <w:rPr>
                <w:rFonts w:ascii="Times New Roman" w:hAnsi="Times New Roman" w:cs="Times New Roman"/>
                <w:sz w:val="26"/>
                <w:szCs w:val="26"/>
              </w:rPr>
            </w:pPr>
          </w:p>
        </w:tc>
        <w:tc>
          <w:tcPr>
            <w:tcW w:w="119" w:type="dxa"/>
            <w:vAlign w:val="bottom"/>
            <w:hideMark/>
          </w:tcPr>
          <w:p w:rsidR="00065E33" w:rsidRPr="00FD1E11" w:rsidRDefault="00065E33" w:rsidP="003C3C20">
            <w:pPr>
              <w:rPr>
                <w:rFonts w:ascii="Times New Roman" w:hAnsi="Times New Roman" w:cs="Times New Roman"/>
                <w:sz w:val="26"/>
                <w:szCs w:val="26"/>
              </w:rPr>
            </w:pPr>
          </w:p>
        </w:tc>
      </w:tr>
      <w:tr w:rsidR="00065E33" w:rsidRPr="00FD1E11" w:rsidTr="00065E33">
        <w:trPr>
          <w:gridAfter w:val="1"/>
          <w:wAfter w:w="20" w:type="dxa"/>
        </w:trPr>
        <w:tc>
          <w:tcPr>
            <w:tcW w:w="1702"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Lệ phí</w:t>
            </w:r>
          </w:p>
        </w:tc>
        <w:tc>
          <w:tcPr>
            <w:tcW w:w="112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c>
          <w:tcPr>
            <w:tcW w:w="270" w:type="dxa"/>
            <w:gridSpan w:val="2"/>
            <w:vAlign w:val="bottom"/>
            <w:hideMark/>
          </w:tcPr>
          <w:p w:rsidR="00065E33" w:rsidRPr="00FD1E11" w:rsidRDefault="00065E33" w:rsidP="003C3C20">
            <w:pPr>
              <w:rPr>
                <w:rFonts w:ascii="Times New Roman" w:hAnsi="Times New Roman" w:cs="Times New Roman"/>
                <w:sz w:val="26"/>
                <w:szCs w:val="26"/>
              </w:rPr>
            </w:pPr>
          </w:p>
        </w:tc>
        <w:tc>
          <w:tcPr>
            <w:tcW w:w="119" w:type="dxa"/>
            <w:vAlign w:val="bottom"/>
            <w:hideMark/>
          </w:tcPr>
          <w:p w:rsidR="00065E33" w:rsidRPr="00FD1E11" w:rsidRDefault="00065E33" w:rsidP="003C3C20">
            <w:pPr>
              <w:rPr>
                <w:rFonts w:ascii="Times New Roman" w:hAnsi="Times New Roman" w:cs="Times New Roman"/>
                <w:sz w:val="26"/>
                <w:szCs w:val="26"/>
              </w:rPr>
            </w:pPr>
          </w:p>
        </w:tc>
      </w:tr>
      <w:tr w:rsidR="00065E33" w:rsidRPr="00FD1E11" w:rsidTr="00065E33">
        <w:trPr>
          <w:gridAfter w:val="1"/>
          <w:wAfter w:w="20" w:type="dxa"/>
        </w:trPr>
        <w:tc>
          <w:tcPr>
            <w:tcW w:w="1702"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lastRenderedPageBreak/>
              <w:t>Mức giá</w:t>
            </w:r>
          </w:p>
        </w:tc>
        <w:tc>
          <w:tcPr>
            <w:tcW w:w="112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c>
          <w:tcPr>
            <w:tcW w:w="270" w:type="dxa"/>
            <w:gridSpan w:val="2"/>
            <w:vAlign w:val="bottom"/>
            <w:hideMark/>
          </w:tcPr>
          <w:p w:rsidR="00065E33" w:rsidRPr="00FD1E11" w:rsidRDefault="00065E33" w:rsidP="003C3C20">
            <w:pPr>
              <w:rPr>
                <w:rFonts w:ascii="Times New Roman" w:hAnsi="Times New Roman" w:cs="Times New Roman"/>
                <w:sz w:val="26"/>
                <w:szCs w:val="26"/>
              </w:rPr>
            </w:pPr>
          </w:p>
        </w:tc>
        <w:tc>
          <w:tcPr>
            <w:tcW w:w="119" w:type="dxa"/>
            <w:vAlign w:val="bottom"/>
            <w:hideMark/>
          </w:tcPr>
          <w:p w:rsidR="00065E33" w:rsidRPr="00FD1E11" w:rsidRDefault="00065E33" w:rsidP="003C3C20">
            <w:pPr>
              <w:rPr>
                <w:rFonts w:ascii="Times New Roman" w:hAnsi="Times New Roman" w:cs="Times New Roman"/>
                <w:sz w:val="26"/>
                <w:szCs w:val="26"/>
              </w:rPr>
            </w:pPr>
          </w:p>
        </w:tc>
      </w:tr>
      <w:tr w:rsidR="00065E33" w:rsidRPr="00FD1E11" w:rsidTr="00065E33">
        <w:trPr>
          <w:gridAfter w:val="1"/>
          <w:wAfter w:w="20" w:type="dxa"/>
        </w:trPr>
        <w:tc>
          <w:tcPr>
            <w:tcW w:w="1702"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Thời hạn giải quyết</w:t>
            </w:r>
          </w:p>
        </w:tc>
        <w:tc>
          <w:tcPr>
            <w:tcW w:w="112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bdr w:val="none" w:sz="0" w:space="0" w:color="auto" w:frame="1"/>
              </w:rPr>
              <w:t>Cơ sở được thực hiện hoạt động tiêm chủng sau khi đã thực hiện việc công bố đủ điều kiện tiêm chủng</w:t>
            </w:r>
          </w:p>
        </w:tc>
        <w:tc>
          <w:tcPr>
            <w:tcW w:w="270" w:type="dxa"/>
            <w:gridSpan w:val="2"/>
            <w:vAlign w:val="bottom"/>
            <w:hideMark/>
          </w:tcPr>
          <w:p w:rsidR="00065E33" w:rsidRPr="00FD1E11" w:rsidRDefault="00065E33" w:rsidP="003C3C20">
            <w:pPr>
              <w:rPr>
                <w:rFonts w:ascii="Times New Roman" w:hAnsi="Times New Roman" w:cs="Times New Roman"/>
                <w:sz w:val="26"/>
                <w:szCs w:val="26"/>
              </w:rPr>
            </w:pPr>
          </w:p>
        </w:tc>
        <w:tc>
          <w:tcPr>
            <w:tcW w:w="119" w:type="dxa"/>
            <w:vAlign w:val="bottom"/>
            <w:hideMark/>
          </w:tcPr>
          <w:p w:rsidR="00065E33" w:rsidRPr="00FD1E11" w:rsidRDefault="00065E33" w:rsidP="003C3C20">
            <w:pPr>
              <w:rPr>
                <w:rFonts w:ascii="Times New Roman" w:hAnsi="Times New Roman" w:cs="Times New Roman"/>
                <w:sz w:val="26"/>
                <w:szCs w:val="26"/>
              </w:rPr>
            </w:pPr>
          </w:p>
        </w:tc>
      </w:tr>
      <w:tr w:rsidR="00065E33" w:rsidRPr="00FD1E11" w:rsidTr="00065E33">
        <w:tc>
          <w:tcPr>
            <w:tcW w:w="1702"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b/>
                <w:bCs/>
                <w:sz w:val="26"/>
                <w:szCs w:val="26"/>
              </w:rPr>
            </w:pPr>
            <w:bookmarkStart w:id="0" w:name="_GoBack"/>
            <w:bookmarkEnd w:id="0"/>
            <w:r w:rsidRPr="00FD1E11">
              <w:rPr>
                <w:rFonts w:ascii="Times New Roman" w:hAnsi="Times New Roman" w:cs="Times New Roman"/>
                <w:b/>
                <w:bCs/>
                <w:sz w:val="26"/>
                <w:szCs w:val="26"/>
              </w:rPr>
              <w:t>Kết quả thực hiện</w:t>
            </w:r>
          </w:p>
        </w:tc>
        <w:tc>
          <w:tcPr>
            <w:tcW w:w="112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Thông tin về tên, địa chỉ, người đứng đầu cơ sở đã công bố đủ điều kiện tiêm chủng trên Trang thông tin điện tử của Sở Y tế.</w:t>
            </w:r>
          </w:p>
        </w:tc>
        <w:tc>
          <w:tcPr>
            <w:tcW w:w="20" w:type="dxa"/>
            <w:vAlign w:val="bottom"/>
            <w:hideMark/>
          </w:tcPr>
          <w:p w:rsidR="00065E33" w:rsidRPr="00FD1E11" w:rsidRDefault="00065E33" w:rsidP="003C3C20">
            <w:pPr>
              <w:rPr>
                <w:rFonts w:ascii="Times New Roman" w:hAnsi="Times New Roman" w:cs="Times New Roman"/>
                <w:sz w:val="26"/>
                <w:szCs w:val="26"/>
              </w:rPr>
            </w:pPr>
          </w:p>
        </w:tc>
        <w:tc>
          <w:tcPr>
            <w:tcW w:w="389" w:type="dxa"/>
            <w:gridSpan w:val="3"/>
            <w:vAlign w:val="bottom"/>
            <w:hideMark/>
          </w:tcPr>
          <w:p w:rsidR="00065E33" w:rsidRPr="00FD1E11" w:rsidRDefault="00065E33" w:rsidP="003C3C20">
            <w:pPr>
              <w:rPr>
                <w:rFonts w:ascii="Times New Roman" w:hAnsi="Times New Roman" w:cs="Times New Roman"/>
                <w:sz w:val="26"/>
                <w:szCs w:val="26"/>
              </w:rPr>
            </w:pPr>
          </w:p>
        </w:tc>
      </w:tr>
      <w:tr w:rsidR="00065E33" w:rsidRPr="00FD1E11" w:rsidTr="00065E33">
        <w:tc>
          <w:tcPr>
            <w:tcW w:w="1702"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65E33" w:rsidRPr="00FD1E11" w:rsidRDefault="00065E33"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Căn cứ pháp lý của TTHC</w:t>
            </w:r>
          </w:p>
        </w:tc>
        <w:tc>
          <w:tcPr>
            <w:tcW w:w="112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065E33">
            <w:pPr>
              <w:numPr>
                <w:ilvl w:val="0"/>
                <w:numId w:val="2"/>
              </w:numPr>
              <w:spacing w:after="0" w:line="270" w:lineRule="atLeast"/>
              <w:ind w:left="0"/>
              <w:textAlignment w:val="baseline"/>
              <w:rPr>
                <w:rFonts w:ascii="Times New Roman" w:hAnsi="Times New Roman" w:cs="Times New Roman"/>
                <w:sz w:val="26"/>
                <w:szCs w:val="26"/>
              </w:rPr>
            </w:pPr>
            <w:hyperlink r:id="rId5" w:tgtFrame="_blank" w:tooltip="Luật 03/2007/QH12" w:history="1">
              <w:r w:rsidRPr="00FD1E11">
                <w:rPr>
                  <w:rStyle w:val="Hyperlink"/>
                  <w:rFonts w:ascii="Times New Roman" w:hAnsi="Times New Roman" w:cs="Times New Roman"/>
                  <w:color w:val="auto"/>
                  <w:sz w:val="26"/>
                  <w:szCs w:val="26"/>
                  <w:bdr w:val="none" w:sz="0" w:space="0" w:color="auto" w:frame="1"/>
                </w:rPr>
                <w:t>Luật 03/2007/QH12</w:t>
              </w:r>
            </w:hyperlink>
          </w:p>
          <w:p w:rsidR="00065E33" w:rsidRPr="00FD1E11" w:rsidRDefault="00065E33" w:rsidP="00065E33">
            <w:pPr>
              <w:numPr>
                <w:ilvl w:val="0"/>
                <w:numId w:val="2"/>
              </w:numPr>
              <w:spacing w:after="0" w:line="270" w:lineRule="atLeast"/>
              <w:ind w:left="0"/>
              <w:textAlignment w:val="baseline"/>
              <w:rPr>
                <w:rFonts w:ascii="Times New Roman" w:hAnsi="Times New Roman" w:cs="Times New Roman"/>
                <w:sz w:val="26"/>
                <w:szCs w:val="26"/>
              </w:rPr>
            </w:pPr>
            <w:hyperlink r:id="rId6" w:tgtFrame="_blank" w:tooltip="Luật 67/2014/QH13" w:history="1">
              <w:r w:rsidRPr="00FD1E11">
                <w:rPr>
                  <w:rStyle w:val="Hyperlink"/>
                  <w:rFonts w:ascii="Times New Roman" w:hAnsi="Times New Roman" w:cs="Times New Roman"/>
                  <w:color w:val="auto"/>
                  <w:sz w:val="26"/>
                  <w:szCs w:val="26"/>
                  <w:bdr w:val="none" w:sz="0" w:space="0" w:color="auto" w:frame="1"/>
                </w:rPr>
                <w:t>Luật 67/2014/QH13</w:t>
              </w:r>
            </w:hyperlink>
          </w:p>
          <w:p w:rsidR="00065E33" w:rsidRPr="00FD1E11" w:rsidRDefault="00065E33" w:rsidP="00065E33">
            <w:pPr>
              <w:numPr>
                <w:ilvl w:val="0"/>
                <w:numId w:val="2"/>
              </w:numPr>
              <w:spacing w:after="0" w:line="270" w:lineRule="atLeast"/>
              <w:ind w:left="0"/>
              <w:textAlignment w:val="baseline"/>
              <w:rPr>
                <w:rFonts w:ascii="Times New Roman" w:hAnsi="Times New Roman" w:cs="Times New Roman"/>
                <w:sz w:val="26"/>
                <w:szCs w:val="26"/>
              </w:rPr>
            </w:pPr>
            <w:hyperlink r:id="rId7" w:tgtFrame="_blank" w:tooltip="Nghị định 104/2016/NĐ-CP" w:history="1">
              <w:r w:rsidRPr="00FD1E11">
                <w:rPr>
                  <w:rStyle w:val="Hyperlink"/>
                  <w:rFonts w:ascii="Times New Roman" w:hAnsi="Times New Roman" w:cs="Times New Roman"/>
                  <w:color w:val="auto"/>
                  <w:sz w:val="26"/>
                  <w:szCs w:val="26"/>
                  <w:bdr w:val="none" w:sz="0" w:space="0" w:color="auto" w:frame="1"/>
                </w:rPr>
                <w:t>Nghị định 104/2016/NĐ-CP</w:t>
              </w:r>
            </w:hyperlink>
          </w:p>
          <w:p w:rsidR="00065E33" w:rsidRPr="00FD1E11" w:rsidRDefault="00065E33" w:rsidP="00065E33">
            <w:pPr>
              <w:numPr>
                <w:ilvl w:val="0"/>
                <w:numId w:val="2"/>
              </w:numPr>
              <w:spacing w:after="0" w:line="270" w:lineRule="atLeast"/>
              <w:ind w:left="0"/>
              <w:textAlignment w:val="baseline"/>
              <w:rPr>
                <w:rFonts w:ascii="Times New Roman" w:hAnsi="Times New Roman" w:cs="Times New Roman"/>
                <w:sz w:val="26"/>
                <w:szCs w:val="26"/>
              </w:rPr>
            </w:pPr>
            <w:hyperlink r:id="rId8" w:tgtFrame="_blank" w:tooltip="Nghị định 155/2018/NĐ-CP" w:history="1">
              <w:r w:rsidRPr="00FD1E11">
                <w:rPr>
                  <w:rStyle w:val="Hyperlink"/>
                  <w:rFonts w:ascii="Times New Roman" w:hAnsi="Times New Roman" w:cs="Times New Roman"/>
                  <w:color w:val="auto"/>
                  <w:sz w:val="26"/>
                  <w:szCs w:val="26"/>
                  <w:bdr w:val="none" w:sz="0" w:space="0" w:color="auto" w:frame="1"/>
                </w:rPr>
                <w:t>Nghị định 155/2018/NĐ-CP</w:t>
              </w:r>
            </w:hyperlink>
          </w:p>
        </w:tc>
        <w:tc>
          <w:tcPr>
            <w:tcW w:w="20" w:type="dxa"/>
            <w:vAlign w:val="bottom"/>
            <w:hideMark/>
          </w:tcPr>
          <w:p w:rsidR="00065E33" w:rsidRPr="00FD1E11" w:rsidRDefault="00065E33" w:rsidP="003C3C20">
            <w:pPr>
              <w:rPr>
                <w:rFonts w:ascii="Times New Roman" w:hAnsi="Times New Roman" w:cs="Times New Roman"/>
                <w:sz w:val="26"/>
                <w:szCs w:val="26"/>
              </w:rPr>
            </w:pPr>
          </w:p>
        </w:tc>
        <w:tc>
          <w:tcPr>
            <w:tcW w:w="389" w:type="dxa"/>
            <w:gridSpan w:val="3"/>
            <w:vAlign w:val="bottom"/>
            <w:hideMark/>
          </w:tcPr>
          <w:p w:rsidR="00065E33" w:rsidRPr="00FD1E11" w:rsidRDefault="00065E33" w:rsidP="003C3C20">
            <w:pPr>
              <w:rPr>
                <w:rFonts w:ascii="Times New Roman" w:hAnsi="Times New Roman" w:cs="Times New Roman"/>
                <w:sz w:val="26"/>
                <w:szCs w:val="26"/>
              </w:rPr>
            </w:pPr>
          </w:p>
        </w:tc>
      </w:tr>
      <w:tr w:rsidR="00065E33" w:rsidRPr="00FD1E11" w:rsidTr="00065E33">
        <w:tc>
          <w:tcPr>
            <w:tcW w:w="1702"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center"/>
            <w:hideMark/>
          </w:tcPr>
          <w:p w:rsidR="00065E33" w:rsidRPr="00FD1E11" w:rsidRDefault="00065E33"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Yêu cầu hoặc điều kiện để thực hiện TTHC</w:t>
            </w:r>
          </w:p>
        </w:tc>
        <w:tc>
          <w:tcPr>
            <w:tcW w:w="112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65E33" w:rsidRPr="00FD1E11" w:rsidRDefault="00065E33" w:rsidP="003C3C20">
            <w:pPr>
              <w:pStyle w:val="NormalWeb"/>
              <w:spacing w:before="0" w:beforeAutospacing="0" w:after="0" w:afterAutospacing="0" w:line="240" w:lineRule="atLeast"/>
              <w:textAlignment w:val="baseline"/>
              <w:rPr>
                <w:sz w:val="26"/>
                <w:szCs w:val="26"/>
              </w:rPr>
            </w:pPr>
            <w:r w:rsidRPr="00FD1E11">
              <w:rPr>
                <w:rStyle w:val="Strong"/>
                <w:sz w:val="26"/>
                <w:szCs w:val="26"/>
                <w:bdr w:val="none" w:sz="0" w:space="0" w:color="auto" w:frame="1"/>
              </w:rPr>
              <w:t>Điều 9. Điều kiện đối với cơ sở tiêm chủng cố định</w:t>
            </w:r>
          </w:p>
          <w:p w:rsidR="00065E33" w:rsidRPr="00FD1E11" w:rsidRDefault="00065E33" w:rsidP="003C3C20">
            <w:pPr>
              <w:pStyle w:val="NormalWeb"/>
              <w:spacing w:before="0" w:beforeAutospacing="0" w:after="0" w:afterAutospacing="0" w:line="240" w:lineRule="atLeast"/>
              <w:textAlignment w:val="baseline"/>
              <w:rPr>
                <w:sz w:val="26"/>
                <w:szCs w:val="26"/>
              </w:rPr>
            </w:pPr>
            <w:r w:rsidRPr="00FD1E11">
              <w:rPr>
                <w:sz w:val="26"/>
                <w:szCs w:val="26"/>
              </w:rPr>
              <w:t>1. Cơ sở vật chất: Khu vực tiêm chủng phải bảo đảm che được mưa, nắng, kín gió và thông thoáng và bố trí theo nguyên tắc một chiều từ đón tiếp, hướng dẫn, tư vấn, khám sàng lọc, thực hiện tiêm chủng, theo dõi và xử trí phản ứng sau tiêm chủng.</w:t>
            </w:r>
          </w:p>
          <w:p w:rsidR="00065E33" w:rsidRPr="00FD1E11" w:rsidRDefault="00065E33" w:rsidP="003C3C20">
            <w:pPr>
              <w:pStyle w:val="NormalWeb"/>
              <w:spacing w:before="0" w:beforeAutospacing="0" w:after="0" w:afterAutospacing="0" w:line="240" w:lineRule="atLeast"/>
              <w:textAlignment w:val="baseline"/>
              <w:rPr>
                <w:sz w:val="26"/>
                <w:szCs w:val="26"/>
              </w:rPr>
            </w:pPr>
            <w:r w:rsidRPr="00FD1E11">
              <w:rPr>
                <w:sz w:val="26"/>
                <w:szCs w:val="26"/>
              </w:rPr>
              <w:t>2. Trang thiết bị:</w:t>
            </w:r>
          </w:p>
          <w:p w:rsidR="00065E33" w:rsidRPr="00FD1E11" w:rsidRDefault="00065E33" w:rsidP="003C3C20">
            <w:pPr>
              <w:pStyle w:val="NormalWeb"/>
              <w:spacing w:before="0" w:beforeAutospacing="0" w:after="0" w:afterAutospacing="0" w:line="240" w:lineRule="atLeast"/>
              <w:textAlignment w:val="baseline"/>
              <w:rPr>
                <w:sz w:val="26"/>
                <w:szCs w:val="26"/>
              </w:rPr>
            </w:pPr>
            <w:r w:rsidRPr="00FD1E11">
              <w:rPr>
                <w:sz w:val="26"/>
                <w:szCs w:val="26"/>
              </w:rPr>
              <w:t>a) Có tủ lạnh, phích vắc xin hoặc hòm lạnh, các thiết bị theo dõi nhiệt độ tại nơi bảo quản và trong quá trình vận chuyển vắc xin;</w:t>
            </w:r>
          </w:p>
          <w:p w:rsidR="00065E33" w:rsidRPr="00FD1E11" w:rsidRDefault="00065E33" w:rsidP="003C3C20">
            <w:pPr>
              <w:pStyle w:val="NormalWeb"/>
              <w:spacing w:before="0" w:beforeAutospacing="0" w:after="0" w:afterAutospacing="0" w:line="240" w:lineRule="atLeast"/>
              <w:textAlignment w:val="baseline"/>
              <w:rPr>
                <w:sz w:val="26"/>
                <w:szCs w:val="26"/>
              </w:rPr>
            </w:pPr>
            <w:r w:rsidRPr="00FD1E11">
              <w:rPr>
                <w:sz w:val="26"/>
                <w:szCs w:val="26"/>
              </w:rPr>
              <w:t>c) Có hộp chống sốc, phác đồ chống sốc treo tại nơi theo dõi, xử trí phản ứng sau tiêm chủng theo quy định của Bộ trưởng Bộ Y tế;</w:t>
            </w:r>
          </w:p>
          <w:p w:rsidR="00065E33" w:rsidRPr="00FD1E11" w:rsidRDefault="00065E33" w:rsidP="003C3C20">
            <w:pPr>
              <w:pStyle w:val="NormalWeb"/>
              <w:spacing w:before="0" w:beforeAutospacing="0" w:after="0" w:afterAutospacing="0" w:line="240" w:lineRule="atLeast"/>
              <w:textAlignment w:val="baseline"/>
              <w:rPr>
                <w:sz w:val="26"/>
                <w:szCs w:val="26"/>
              </w:rPr>
            </w:pPr>
            <w:r w:rsidRPr="00FD1E11">
              <w:rPr>
                <w:sz w:val="26"/>
                <w:szCs w:val="26"/>
              </w:rPr>
              <w:t>3. Nhân sự: </w:t>
            </w:r>
          </w:p>
          <w:p w:rsidR="00065E33" w:rsidRPr="00FD1E11" w:rsidRDefault="00065E33" w:rsidP="003C3C20">
            <w:pPr>
              <w:pStyle w:val="NormalWeb"/>
              <w:spacing w:before="0" w:beforeAutospacing="0" w:after="0" w:afterAutospacing="0" w:line="240" w:lineRule="atLeast"/>
              <w:textAlignment w:val="baseline"/>
              <w:rPr>
                <w:sz w:val="26"/>
                <w:szCs w:val="26"/>
              </w:rPr>
            </w:pPr>
            <w:r w:rsidRPr="00FD1E11">
              <w:rPr>
                <w:sz w:val="26"/>
                <w:szCs w:val="26"/>
              </w:rPr>
              <w:t>a) Số Điều 15 của Nghị định số 155/2018/NĐ-CP, có hiệu lực kể từ ngày 12 tháng 11 năm 2018.sâu, vùng xa, vùng đặc biệt khó khăn phải có tối thiểu 02 nhân viên có trình độ từ trung cấp chuyên ngành y trở lên, trong đó có ít nhất 01 nhân viên có trình độ chuyên môn từ y sỹ trở lên;</w:t>
            </w:r>
          </w:p>
          <w:p w:rsidR="00065E33" w:rsidRPr="00FD1E11" w:rsidRDefault="00065E33" w:rsidP="003C3C20">
            <w:pPr>
              <w:pStyle w:val="NormalWeb"/>
              <w:spacing w:before="0" w:beforeAutospacing="0" w:after="0" w:afterAutospacing="0" w:line="240" w:lineRule="atLeast"/>
              <w:textAlignment w:val="baseline"/>
              <w:rPr>
                <w:sz w:val="26"/>
                <w:szCs w:val="26"/>
              </w:rPr>
            </w:pPr>
            <w:r w:rsidRPr="00FD1E11">
              <w:rPr>
                <w:sz w:val="26"/>
                <w:szCs w:val="26"/>
              </w:rPr>
              <w:t xml:space="preserve">b) Nhân viên y tế tham gia hoạt động tiêm chủng phải được tập huấn chuyên môn về tiêm chủng. Nhân viên trực tiếp thực hiện khám sàng lọc, tư vấn, theo dõi, xử trí phản ứng sau tiêm chủng phải có trình độ </w:t>
            </w:r>
            <w:r w:rsidRPr="00FD1E11">
              <w:rPr>
                <w:sz w:val="26"/>
                <w:szCs w:val="26"/>
              </w:rPr>
              <w:lastRenderedPageBreak/>
              <w:t>chuyên môn từ y sỹ trở lên; nhân viên thực hành tiêm chủng có trình độ từ trung cấp Y học hoặc trung cấp Điều dưỡng – Hộ sinh trở lên</w:t>
            </w:r>
          </w:p>
          <w:p w:rsidR="00065E33" w:rsidRPr="00FD1E11" w:rsidRDefault="00065E33" w:rsidP="003C3C20">
            <w:pPr>
              <w:pStyle w:val="NormalWeb"/>
              <w:spacing w:before="0" w:beforeAutospacing="0" w:after="0" w:afterAutospacing="0" w:line="240" w:lineRule="atLeast"/>
              <w:textAlignment w:val="baseline"/>
              <w:rPr>
                <w:sz w:val="26"/>
                <w:szCs w:val="26"/>
              </w:rPr>
            </w:pPr>
          </w:p>
        </w:tc>
        <w:tc>
          <w:tcPr>
            <w:tcW w:w="20" w:type="dxa"/>
            <w:vAlign w:val="bottom"/>
            <w:hideMark/>
          </w:tcPr>
          <w:p w:rsidR="00065E33" w:rsidRPr="00FD1E11" w:rsidRDefault="00065E33" w:rsidP="003C3C20">
            <w:pPr>
              <w:rPr>
                <w:rFonts w:ascii="Times New Roman" w:hAnsi="Times New Roman" w:cs="Times New Roman"/>
                <w:sz w:val="26"/>
                <w:szCs w:val="26"/>
              </w:rPr>
            </w:pPr>
          </w:p>
        </w:tc>
        <w:tc>
          <w:tcPr>
            <w:tcW w:w="389" w:type="dxa"/>
            <w:gridSpan w:val="3"/>
            <w:vAlign w:val="bottom"/>
            <w:hideMark/>
          </w:tcPr>
          <w:p w:rsidR="00065E33" w:rsidRPr="00FD1E11" w:rsidRDefault="00065E33" w:rsidP="003C3C20">
            <w:pPr>
              <w:rPr>
                <w:rFonts w:ascii="Times New Roman" w:hAnsi="Times New Roman" w:cs="Times New Roman"/>
                <w:sz w:val="26"/>
                <w:szCs w:val="26"/>
              </w:rPr>
            </w:pPr>
          </w:p>
        </w:tc>
      </w:tr>
      <w:tr w:rsidR="00065E33" w:rsidRPr="00FD1E11" w:rsidTr="00065E33">
        <w:trPr>
          <w:gridAfter w:val="5"/>
          <w:wAfter w:w="11682" w:type="dxa"/>
        </w:trPr>
        <w:tc>
          <w:tcPr>
            <w:tcW w:w="18" w:type="dxa"/>
            <w:vAlign w:val="bottom"/>
            <w:hideMark/>
          </w:tcPr>
          <w:p w:rsidR="00065E33" w:rsidRPr="00FD1E11" w:rsidRDefault="00065E33" w:rsidP="003C3C20">
            <w:pPr>
              <w:rPr>
                <w:rFonts w:ascii="Times New Roman" w:hAnsi="Times New Roman" w:cs="Times New Roman"/>
                <w:sz w:val="26"/>
                <w:szCs w:val="26"/>
              </w:rPr>
            </w:pPr>
          </w:p>
        </w:tc>
        <w:tc>
          <w:tcPr>
            <w:tcW w:w="0" w:type="auto"/>
            <w:vAlign w:val="bottom"/>
            <w:hideMark/>
          </w:tcPr>
          <w:p w:rsidR="00065E33" w:rsidRPr="00FD1E11" w:rsidRDefault="00065E33" w:rsidP="003C3C20">
            <w:pPr>
              <w:rPr>
                <w:rFonts w:ascii="Times New Roman" w:hAnsi="Times New Roman" w:cs="Times New Roman"/>
                <w:sz w:val="26"/>
                <w:szCs w:val="26"/>
              </w:rPr>
            </w:pPr>
          </w:p>
        </w:tc>
      </w:tr>
    </w:tbl>
    <w:p w:rsidR="00065E33" w:rsidRPr="00FD1E11" w:rsidRDefault="00065E33" w:rsidP="00065E33">
      <w:pPr>
        <w:pBdr>
          <w:top w:val="single" w:sz="6" w:space="31" w:color="auto"/>
        </w:pBdr>
        <w:spacing w:after="0" w:line="240" w:lineRule="auto"/>
        <w:rPr>
          <w:rFonts w:ascii="Times New Roman" w:eastAsia="Times New Roman" w:hAnsi="Times New Roman" w:cs="Times New Roman"/>
          <w:sz w:val="26"/>
          <w:szCs w:val="26"/>
        </w:rPr>
      </w:pPr>
    </w:p>
    <w:p w:rsidR="00F7685B" w:rsidRDefault="00F7685B"/>
    <w:sectPr w:rsidR="00F7685B" w:rsidSect="00065E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F50AB"/>
    <w:multiLevelType w:val="multilevel"/>
    <w:tmpl w:val="0F82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24CA9"/>
    <w:multiLevelType w:val="multilevel"/>
    <w:tmpl w:val="7806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3"/>
    <w:rsid w:val="00065E33"/>
    <w:rsid w:val="00F7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FAFB6-546D-43E1-819B-4C74D312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33"/>
    <w:pPr>
      <w:spacing w:after="200" w:line="276" w:lineRule="auto"/>
    </w:pPr>
  </w:style>
  <w:style w:type="paragraph" w:styleId="Heading4">
    <w:name w:val="heading 4"/>
    <w:basedOn w:val="Normal"/>
    <w:link w:val="Heading4Char"/>
    <w:uiPriority w:val="9"/>
    <w:qFormat/>
    <w:rsid w:val="00065E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5E33"/>
    <w:rPr>
      <w:rFonts w:ascii="Times New Roman" w:eastAsia="Times New Roman" w:hAnsi="Times New Roman" w:cs="Times New Roman"/>
      <w:b/>
      <w:bCs/>
      <w:sz w:val="24"/>
      <w:szCs w:val="24"/>
    </w:rPr>
  </w:style>
  <w:style w:type="paragraph" w:styleId="NormalWeb">
    <w:name w:val="Normal (Web)"/>
    <w:basedOn w:val="Normal"/>
    <w:uiPriority w:val="99"/>
    <w:unhideWhenUsed/>
    <w:rsid w:val="00065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5E33"/>
    <w:rPr>
      <w:color w:val="0000FF"/>
      <w:u w:val="single"/>
    </w:rPr>
  </w:style>
  <w:style w:type="character" w:styleId="Strong">
    <w:name w:val="Strong"/>
    <w:basedOn w:val="DefaultParagraphFont"/>
    <w:uiPriority w:val="22"/>
    <w:qFormat/>
    <w:rsid w:val="00065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32181" TargetMode="External"/><Relationship Id="rId3" Type="http://schemas.openxmlformats.org/officeDocument/2006/relationships/settings" Target="settings.xml"/><Relationship Id="rId7" Type="http://schemas.openxmlformats.org/officeDocument/2006/relationships/hyperlink" Target="http://vbpl.vn/TW/Pages/vbpq-thuoctinh.aspx?ItemID=113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46750" TargetMode="External"/><Relationship Id="rId5" Type="http://schemas.openxmlformats.org/officeDocument/2006/relationships/hyperlink" Target="http://vbpl.vn/TW/Pages/vbpq-thuoctinh.aspx?ItemID=129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2019-12-18T07:02:00Z</dcterms:created>
  <dcterms:modified xsi:type="dcterms:W3CDTF">2019-12-18T07:03:00Z</dcterms:modified>
</cp:coreProperties>
</file>