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F2B" w:rsidRPr="00FD1E11" w:rsidRDefault="00D27F2B" w:rsidP="00D27F2B">
      <w:pPr>
        <w:pStyle w:val="Heading4"/>
        <w:shd w:val="clear" w:color="auto" w:fill="FFFFFF"/>
        <w:spacing w:before="105" w:beforeAutospacing="0" w:after="105" w:afterAutospacing="0" w:line="330" w:lineRule="atLeast"/>
        <w:textAlignment w:val="baseline"/>
        <w:rPr>
          <w:sz w:val="26"/>
          <w:szCs w:val="26"/>
        </w:rPr>
      </w:pPr>
      <w:bookmarkStart w:id="0" w:name="_GoBack"/>
      <w:r w:rsidRPr="00FD1E11">
        <w:rPr>
          <w:sz w:val="26"/>
          <w:szCs w:val="26"/>
        </w:rPr>
        <w:t xml:space="preserve">Công bố đủ điều kiện thực hiện hoạt động quan trắc môi trường </w:t>
      </w:r>
      <w:proofErr w:type="gramStart"/>
      <w:r w:rsidRPr="00FD1E11">
        <w:rPr>
          <w:sz w:val="26"/>
          <w:szCs w:val="26"/>
        </w:rPr>
        <w:t>lao</w:t>
      </w:r>
      <w:proofErr w:type="gramEnd"/>
      <w:r w:rsidRPr="00FD1E11">
        <w:rPr>
          <w:sz w:val="26"/>
          <w:szCs w:val="26"/>
        </w:rPr>
        <w:t xml:space="preserve"> động thuộc thẩm quyền của Sở Y tế</w:t>
      </w:r>
    </w:p>
    <w:bookmarkEnd w:id="0"/>
    <w:p w:rsidR="00D27F2B" w:rsidRPr="00FD1E11" w:rsidRDefault="00D27F2B" w:rsidP="00D27F2B">
      <w:pPr>
        <w:numPr>
          <w:ilvl w:val="0"/>
          <w:numId w:val="1"/>
        </w:numPr>
        <w:shd w:val="clear" w:color="auto" w:fill="FFFFFF"/>
        <w:spacing w:after="0" w:line="240" w:lineRule="auto"/>
        <w:ind w:left="0" w:right="45"/>
        <w:textAlignment w:val="baseline"/>
        <w:rPr>
          <w:rFonts w:ascii="Times New Roman" w:hAnsi="Times New Roman" w:cs="Times New Roman"/>
          <w:b/>
          <w:bCs/>
          <w:sz w:val="26"/>
          <w:szCs w:val="26"/>
        </w:rPr>
      </w:pPr>
      <w:r w:rsidRPr="00FD1E11">
        <w:rPr>
          <w:rFonts w:ascii="Times New Roman" w:hAnsi="Times New Roman" w:cs="Times New Roman"/>
          <w:b/>
          <w:bCs/>
          <w:sz w:val="26"/>
          <w:szCs w:val="26"/>
        </w:rPr>
        <w:t>Thông tin</w:t>
      </w:r>
    </w:p>
    <w:tbl>
      <w:tblPr>
        <w:tblW w:w="12975" w:type="dxa"/>
        <w:tblCellMar>
          <w:left w:w="0" w:type="dxa"/>
          <w:right w:w="0" w:type="dxa"/>
        </w:tblCellMar>
        <w:tblLook w:val="04A0" w:firstRow="1" w:lastRow="0" w:firstColumn="1" w:lastColumn="0" w:noHBand="0" w:noVBand="1"/>
      </w:tblPr>
      <w:tblGrid>
        <w:gridCol w:w="3074"/>
        <w:gridCol w:w="9901"/>
      </w:tblGrid>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center"/>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sz w:val="26"/>
                <w:szCs w:val="26"/>
              </w:rPr>
              <w:t> </w:t>
            </w:r>
            <w:r w:rsidRPr="00FD1E11">
              <w:rPr>
                <w:rFonts w:ascii="Times New Roman" w:hAnsi="Times New Roman" w:cs="Times New Roman"/>
                <w:b/>
                <w:bCs/>
                <w:sz w:val="26"/>
                <w:szCs w:val="26"/>
              </w:rPr>
              <w:t>Trình tự thực hiện</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pStyle w:val="NormalWeb"/>
              <w:spacing w:before="0" w:beforeAutospacing="0" w:after="0" w:afterAutospacing="0" w:line="240" w:lineRule="atLeast"/>
              <w:ind w:right="170"/>
              <w:textAlignment w:val="baseline"/>
              <w:rPr>
                <w:sz w:val="26"/>
                <w:szCs w:val="26"/>
              </w:rPr>
            </w:pPr>
            <w:r w:rsidRPr="00FD1E11">
              <w:rPr>
                <w:rStyle w:val="Strong"/>
                <w:sz w:val="26"/>
                <w:szCs w:val="26"/>
                <w:bdr w:val="none" w:sz="0" w:space="0" w:color="auto" w:frame="1"/>
              </w:rPr>
              <w:t>Bước 1.</w:t>
            </w:r>
            <w:r w:rsidRPr="00FD1E11">
              <w:rPr>
                <w:sz w:val="26"/>
                <w:szCs w:val="26"/>
              </w:rPr>
              <w:t> Tổ chức thực hiện quan trắc môi trường lao động gửi hồ sơ đề nghị công bố đủ điều kiện quan trắc môi trường lao động đến Sở Y tế nơi tổ chức đặt trụ sở chính.</w:t>
            </w:r>
          </w:p>
          <w:p w:rsidR="00D27F2B" w:rsidRPr="00FD1E11" w:rsidRDefault="00D27F2B" w:rsidP="003C3C20">
            <w:pPr>
              <w:pStyle w:val="NormalWeb"/>
              <w:spacing w:before="0" w:beforeAutospacing="0" w:after="0" w:afterAutospacing="0" w:line="240" w:lineRule="atLeast"/>
              <w:ind w:right="170"/>
              <w:textAlignment w:val="baseline"/>
              <w:rPr>
                <w:sz w:val="26"/>
                <w:szCs w:val="26"/>
              </w:rPr>
            </w:pPr>
            <w:r w:rsidRPr="00FD1E11">
              <w:rPr>
                <w:rStyle w:val="Strong"/>
                <w:sz w:val="26"/>
                <w:szCs w:val="26"/>
                <w:bdr w:val="none" w:sz="0" w:space="0" w:color="auto" w:frame="1"/>
              </w:rPr>
              <w:t>Bước 2.</w:t>
            </w:r>
            <w:r w:rsidRPr="00FD1E11">
              <w:rPr>
                <w:sz w:val="26"/>
                <w:szCs w:val="26"/>
              </w:rPr>
              <w:t> Khi tiếp nhận hồ sơ đầy đủ, sở y tế cấp cho tổ chức đề nghị công bố đủ điều kiện phiếu tiếp nhận hồ sơ.</w:t>
            </w:r>
          </w:p>
          <w:p w:rsidR="00D27F2B" w:rsidRPr="00FD1E11" w:rsidRDefault="00D27F2B" w:rsidP="003C3C20">
            <w:pPr>
              <w:pStyle w:val="NormalWeb"/>
              <w:spacing w:before="0" w:beforeAutospacing="0" w:after="0" w:afterAutospacing="0" w:line="240" w:lineRule="atLeast"/>
              <w:ind w:right="170"/>
              <w:textAlignment w:val="baseline"/>
              <w:rPr>
                <w:sz w:val="26"/>
                <w:szCs w:val="26"/>
              </w:rPr>
            </w:pPr>
            <w:r w:rsidRPr="00FD1E11">
              <w:rPr>
                <w:rStyle w:val="Strong"/>
                <w:sz w:val="26"/>
                <w:szCs w:val="26"/>
                <w:bdr w:val="none" w:sz="0" w:space="0" w:color="auto" w:frame="1"/>
              </w:rPr>
              <w:t>Bước 3</w:t>
            </w:r>
            <w:r w:rsidRPr="00FD1E11">
              <w:rPr>
                <w:sz w:val="26"/>
                <w:szCs w:val="26"/>
              </w:rPr>
              <w:t>.Trong thời hạn 30 ngày, kể từ ngày nhận đủ hồ sơ theo quy định, sở y tế tiến hành rà soát hồ sơ và công bố đủ điều kiện quan trắc môi trường lao động trên cổng thông tin điện tử của sở y tế.</w:t>
            </w:r>
          </w:p>
          <w:p w:rsidR="00D27F2B" w:rsidRPr="00FD1E11" w:rsidRDefault="00D27F2B"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Trường hợp tổ chức quan trắc môi trường lao động không đảm bảo điều kiện công bố, sở y tế trả lời bằng văn bản và nêu rõ lý do.</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Cách thức thực hiện</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textAlignment w:val="baseline"/>
              <w:rPr>
                <w:rFonts w:ascii="Times New Roman" w:hAnsi="Times New Roman" w:cs="Times New Roman"/>
                <w:sz w:val="26"/>
                <w:szCs w:val="26"/>
              </w:rPr>
            </w:pPr>
            <w:r w:rsidRPr="00FD1E11">
              <w:rPr>
                <w:rFonts w:ascii="Times New Roman" w:hAnsi="Times New Roman" w:cs="Times New Roman"/>
                <w:sz w:val="26"/>
                <w:szCs w:val="26"/>
              </w:rPr>
              <w:t>Gửi qua đường bưu điện hoặc nộp trực tiếp tại sở y tế nơi tổ chức quan trắc đặt trụ sở chính. Trường hợp sở y tế triển khai cấp giấy phép trực tuyến, tổ chức quan trắc nộp hồ sơ trực tuyến.</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Thành phần hồ sơ</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1. Đơn đề nghị công bố đủ điều kiện quan trắc môi trường lao động theo Mẫu số 01 quy định tại Phụ lục III ban hành kèm theo Nghị định số 44/2016/NĐ-CP ngày 15/5/2016 của Chính phủ;</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2. Hồ sơ công bố đủ điều kiện quan trắc môi trường lao động theo Mẫu số 02 quy định tại Phụ lục III ban hành kèm theo Nghị định số 44/2016/NĐ-CP ngày 15/5/2016 của Chính phủ.</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Số bộ hồ sơ</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01 bộ bản giấy (không áp dụng đối với trường hợp nộp hồ sơ trực tuyến)</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Mẫu đơn, mẫu tờ khai</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16"/>
              <w:gridCol w:w="4109"/>
            </w:tblGrid>
            <w:tr w:rsidR="00D27F2B" w:rsidRPr="00FD1E11" w:rsidTr="003C3C20">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Văn bản quy định</w:t>
                  </w:r>
                </w:p>
              </w:tc>
            </w:tr>
            <w:tr w:rsidR="00D27F2B" w:rsidRPr="00FD1E11" w:rsidTr="003C3C2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hyperlink r:id="rId5" w:history="1">
                    <w:r w:rsidRPr="00FD1E11">
                      <w:rPr>
                        <w:rStyle w:val="Hyperlink"/>
                        <w:rFonts w:ascii="Times New Roman" w:hAnsi="Times New Roman" w:cs="Times New Roman"/>
                        <w:sz w:val="26"/>
                        <w:szCs w:val="26"/>
                        <w:bdr w:val="none" w:sz="0" w:space="0" w:color="auto" w:frame="1"/>
                      </w:rPr>
                      <w:t>mẫu số 2.docx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p>
              </w:tc>
            </w:tr>
            <w:tr w:rsidR="00D27F2B" w:rsidRPr="00FD1E11" w:rsidTr="003C3C20">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hyperlink r:id="rId6" w:history="1">
                    <w:r w:rsidRPr="00FD1E11">
                      <w:rPr>
                        <w:rStyle w:val="Hyperlink"/>
                        <w:rFonts w:ascii="Times New Roman" w:hAnsi="Times New Roman" w:cs="Times New Roman"/>
                        <w:sz w:val="26"/>
                        <w:szCs w:val="26"/>
                        <w:bdr w:val="none" w:sz="0" w:space="0" w:color="auto" w:frame="1"/>
                      </w:rPr>
                      <w:t>mấu số 1.docx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p>
              </w:tc>
            </w:tr>
          </w:tbl>
          <w:p w:rsidR="00D27F2B" w:rsidRPr="00FD1E11" w:rsidRDefault="00D27F2B" w:rsidP="003C3C20">
            <w:pPr>
              <w:spacing w:line="240" w:lineRule="atLeast"/>
              <w:rPr>
                <w:rFonts w:ascii="Times New Roman" w:hAnsi="Times New Roman" w:cs="Times New Roman"/>
                <w:sz w:val="26"/>
                <w:szCs w:val="26"/>
              </w:rPr>
            </w:pP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lastRenderedPageBreak/>
              <w:t>Phí</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Lệ phí</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Mức giá</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Không có thông tin</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Thời hạn giải quyết</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Trong thời hạn 30 ngày, kể từ ngày nhận đủ hồ sơ theo quy định</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Đối tượng thực hiện</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Tổ chức thực hiện quan trắc môi trường lao động thuộc quản lý của các tỉnh/thành phố trực thuộc trung ương.</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Kết quả thực hiện</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sz w:val="26"/>
                <w:szCs w:val="26"/>
              </w:rPr>
            </w:pPr>
            <w:r w:rsidRPr="00FD1E11">
              <w:rPr>
                <w:rFonts w:ascii="Times New Roman" w:hAnsi="Times New Roman" w:cs="Times New Roman"/>
                <w:sz w:val="26"/>
                <w:szCs w:val="26"/>
              </w:rPr>
              <w:t>Văn bản thông báo đủ điều kiện công bố hoặc văn bản đề nghị sửa đổi, bổ sung hồ sơ công bố đủ điều kiện thực hiện hoạt động quan trắc môi trường lao động.</w:t>
            </w:r>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Căn cứ pháp lý của TTHC</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D27F2B">
            <w:pPr>
              <w:numPr>
                <w:ilvl w:val="0"/>
                <w:numId w:val="2"/>
              </w:numPr>
              <w:spacing w:after="0" w:line="270" w:lineRule="atLeast"/>
              <w:ind w:left="0"/>
              <w:textAlignment w:val="baseline"/>
              <w:rPr>
                <w:rFonts w:ascii="Times New Roman" w:hAnsi="Times New Roman" w:cs="Times New Roman"/>
                <w:sz w:val="26"/>
                <w:szCs w:val="26"/>
              </w:rPr>
            </w:pPr>
            <w:hyperlink r:id="rId7" w:tgtFrame="_blank" w:tooltip="Luật 84/2015/QH13" w:history="1">
              <w:r w:rsidRPr="00FD1E11">
                <w:rPr>
                  <w:rStyle w:val="Hyperlink"/>
                  <w:rFonts w:ascii="Times New Roman" w:hAnsi="Times New Roman" w:cs="Times New Roman"/>
                  <w:sz w:val="26"/>
                  <w:szCs w:val="26"/>
                  <w:bdr w:val="none" w:sz="0" w:space="0" w:color="auto" w:frame="1"/>
                </w:rPr>
                <w:t>Luật 84/2015/QH13</w:t>
              </w:r>
            </w:hyperlink>
          </w:p>
          <w:p w:rsidR="00D27F2B" w:rsidRPr="00FD1E11" w:rsidRDefault="00D27F2B" w:rsidP="00D27F2B">
            <w:pPr>
              <w:numPr>
                <w:ilvl w:val="0"/>
                <w:numId w:val="2"/>
              </w:numPr>
              <w:spacing w:after="0" w:line="270" w:lineRule="atLeast"/>
              <w:ind w:left="0"/>
              <w:textAlignment w:val="baseline"/>
              <w:rPr>
                <w:rFonts w:ascii="Times New Roman" w:hAnsi="Times New Roman" w:cs="Times New Roman"/>
                <w:sz w:val="26"/>
                <w:szCs w:val="26"/>
              </w:rPr>
            </w:pPr>
            <w:hyperlink r:id="rId8" w:tgtFrame="_blank" w:tooltip="Nghị định 44/2016/NĐ-CP" w:history="1">
              <w:r w:rsidRPr="00FD1E11">
                <w:rPr>
                  <w:rStyle w:val="Hyperlink"/>
                  <w:rFonts w:ascii="Times New Roman" w:hAnsi="Times New Roman" w:cs="Times New Roman"/>
                  <w:sz w:val="26"/>
                  <w:szCs w:val="26"/>
                  <w:bdr w:val="none" w:sz="0" w:space="0" w:color="auto" w:frame="1"/>
                </w:rPr>
                <w:t>Nghị định 44/2016/NĐ-CP</w:t>
              </w:r>
            </w:hyperlink>
          </w:p>
        </w:tc>
      </w:tr>
      <w:tr w:rsidR="00D27F2B" w:rsidRPr="00FD1E11" w:rsidTr="003C3C20">
        <w:tc>
          <w:tcPr>
            <w:tcW w:w="307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D27F2B" w:rsidRPr="00FD1E11" w:rsidRDefault="00D27F2B" w:rsidP="003C3C20">
            <w:pPr>
              <w:spacing w:line="240" w:lineRule="atLeast"/>
              <w:rPr>
                <w:rFonts w:ascii="Times New Roman" w:hAnsi="Times New Roman" w:cs="Times New Roman"/>
                <w:b/>
                <w:bCs/>
                <w:sz w:val="26"/>
                <w:szCs w:val="26"/>
              </w:rPr>
            </w:pPr>
            <w:r w:rsidRPr="00FD1E11">
              <w:rPr>
                <w:rFonts w:ascii="Times New Roman" w:hAnsi="Times New Roman" w:cs="Times New Roman"/>
                <w:b/>
                <w:bCs/>
                <w:sz w:val="26"/>
                <w:szCs w:val="26"/>
              </w:rPr>
              <w:t>Yêu cầu hoặc điều kiện để thực hiện TTHC</w:t>
            </w:r>
          </w:p>
        </w:tc>
        <w:tc>
          <w:tcPr>
            <w:tcW w:w="99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Tổ chức hoạt động quan trắc môi trường lao động bảo đảm điều kiện sau đây:</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1. Đơn vị sự nghiệp hoặc doanh nghiệp cung ứng dịch vụ quan trắc môi trường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2. Có đủ nhân lực thực hiện hoạt động quan trắc môi trường lao động như sau: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a) Người trực tiếp phụ trách quan trắc môi trường lao động có trình độ như sau: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lastRenderedPageBreak/>
              <w:t>- Trình độ từ đại học trở lên thuộc lĩnh vực y tế, môi trường, hóa sinh;</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Có tối thiểu 02 năm kinh nghiệm trong lĩnh vực quan trắc môi trường lao động hoặc 05 năm kinh nghiệm trong lĩnh vực y học dự phòng;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Có chứng chỉ đào tạo về quan trắc môi trường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b) Có ít nhất 05 người làm việc theo hợp đồng có thời hạn từ 12 tháng trở lên hoặc hợp đồng không xác định thời hạn có trình độ như sau: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Trình độ chuyên môn từ trung cấp trở lên thuộc các lĩnh vực y tế, môi trường, hóa sinh; trong đó có ít nhất 60% số người có trình độ từ đại học trở lên;</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Có chứng chỉ đào tạo về quan trắc môi trường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3. Có cơ sở vật chất, trang thiết bị, dụng cụ, hóa chất và năng lực bảo đảm yêu cầu tối thiểu như sau: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a) Quan trắc yếu tố có hại trong môi trường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Đo, thử nghiệm, phân tích tại hiện trường và trong phòng thí nghiệm các yếu tố vi khí hậu, bao gồm: nhiệt độ, độ ẩm, tốc độ gió và bức xạ nhiệt;</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Đo, thử nghiệm, phân tích tại hiện trường và trong phòng thí nghiệm yếu tố vật lý, bao gồm: ánh sáng, tiếng ồn, rung theo dải tần, phóng xạ, điện từ trường, bức xạ tử ngoại;</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Đánh giá yếu tố tiếp xúc nghề nghiệp, bao gồm: yếu tố vi sinh vật, gây dị ứng, mẫn cảm, dung môi;</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Đánh giá gánh nặng lao động và một số chỉ tiêu tâm sinh lý lao động Ec-gô-nô-my: Đánh giá gánh nặng lao động thể lực; đánh giá căng thẳng thần kinh tâm lý; đánh giá Ec-gô-nô-my vị trí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Lấy mẫu, bảo quản, đo, thử nghiệm tại hiện trường và phân tích trong phòng thí nghiệm của 70% yếu tố sau đây:</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Bụi hạt; phân tích hàm lượng silic trong bụi, bụi kim loại, bụi than, bụi talc, bụi bông và bụi amiăng;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Các yếu tố hóa học tối thiểu NOx, SOx, CO, CO2, dung môi hữu cơ (benzen và đồng đẳng - toluen, xylen), thủy ngân, asen, TNT, nicotin, hóa chất trừ sâu;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b) Có kế hoạch và quy trình bảo quản, sử dụng an toàn, bảo dưỡng và kiểm định, hiệu chuẩn thiết bị theo quy định của cơ quan nhà nước có thẩm quyền hoặc quy định của nhà sản xuất;</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lastRenderedPageBreak/>
              <w:t>c) Có quy trình sử dụng, vận hành thiết bị lấy và bảo quản mẫu, đo, thử nghiệm và phân tích điều kiện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d) Có trụ sở làm việc, đủ diện tích để bảo đảm chất lượng công tác quan trắc môi trường lao động, điều kiện phòng thí nghiệm phải đạt yêu cầu về chất lượng trong bảo quản, xử lý, phân tích mẫu;</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đ) Trang bị đầy đủ phương tiện bảo vệ cá nhân khi thực hiện quan trắc môi trường lao động;</w:t>
            </w:r>
          </w:p>
          <w:p w:rsidR="00D27F2B" w:rsidRPr="00FD1E11" w:rsidRDefault="00D27F2B" w:rsidP="003C3C20">
            <w:pPr>
              <w:pStyle w:val="NormalWeb"/>
              <w:spacing w:before="0" w:beforeAutospacing="0" w:after="0" w:afterAutospacing="0" w:line="240" w:lineRule="atLeast"/>
              <w:textAlignment w:val="baseline"/>
              <w:rPr>
                <w:sz w:val="26"/>
                <w:szCs w:val="26"/>
              </w:rPr>
            </w:pPr>
            <w:r w:rsidRPr="00FD1E11">
              <w:rPr>
                <w:sz w:val="26"/>
                <w:szCs w:val="26"/>
              </w:rPr>
              <w:t xml:space="preserve">e) Có biện pháp bảo đảm vệ sinh công nghiệp, </w:t>
            </w:r>
            <w:proofErr w:type="gramStart"/>
            <w:r w:rsidRPr="00FD1E11">
              <w:rPr>
                <w:sz w:val="26"/>
                <w:szCs w:val="26"/>
              </w:rPr>
              <w:t>an</w:t>
            </w:r>
            <w:proofErr w:type="gramEnd"/>
            <w:r w:rsidRPr="00FD1E11">
              <w:rPr>
                <w:sz w:val="26"/>
                <w:szCs w:val="26"/>
              </w:rPr>
              <w:t xml:space="preserve"> toàn phòng cháy, chữa cháy, an toàn sinh học, an toàn hóa học và tuân thủ nghiêm ngặt việc thu gom, vận chuyển bảo quản và xử lý chất thải theo đúng quy định của pháp luật.</w:t>
            </w:r>
          </w:p>
          <w:p w:rsidR="00D27F2B" w:rsidRPr="00FD1E11" w:rsidRDefault="00D27F2B" w:rsidP="003C3C20">
            <w:pPr>
              <w:spacing w:line="240" w:lineRule="atLeast"/>
              <w:textAlignment w:val="baseline"/>
              <w:rPr>
                <w:rFonts w:ascii="Times New Roman" w:hAnsi="Times New Roman" w:cs="Times New Roman"/>
                <w:sz w:val="26"/>
                <w:szCs w:val="26"/>
              </w:rPr>
            </w:pPr>
            <w:r w:rsidRPr="00FD1E11">
              <w:rPr>
                <w:rStyle w:val="Emphasis"/>
                <w:rFonts w:ascii="Times New Roman" w:hAnsi="Times New Roman" w:cs="Times New Roman"/>
                <w:sz w:val="26"/>
                <w:szCs w:val="26"/>
                <w:bdr w:val="none" w:sz="0" w:space="0" w:color="auto" w:frame="1"/>
              </w:rPr>
              <w:t>(Quy định tại Điều 33 Nghị định số 44/2016/NĐ-CP ngày 15 tháng 5 năm 2016 của Chính phủ)</w:t>
            </w:r>
          </w:p>
        </w:tc>
      </w:tr>
    </w:tbl>
    <w:p w:rsidR="00D27F2B" w:rsidRPr="00FD1E11" w:rsidRDefault="00D27F2B" w:rsidP="00D27F2B">
      <w:pPr>
        <w:rPr>
          <w:rFonts w:ascii="Times New Roman" w:eastAsia="Times New Roman" w:hAnsi="Times New Roman" w:cs="Times New Roman"/>
          <w:sz w:val="26"/>
          <w:szCs w:val="26"/>
        </w:rPr>
      </w:pPr>
    </w:p>
    <w:p w:rsidR="00F7685B" w:rsidRDefault="00F7685B"/>
    <w:sectPr w:rsidR="00F7685B" w:rsidSect="00D27F2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54F80"/>
    <w:multiLevelType w:val="multilevel"/>
    <w:tmpl w:val="7086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006EDB"/>
    <w:multiLevelType w:val="multilevel"/>
    <w:tmpl w:val="354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2B"/>
    <w:rsid w:val="00D27F2B"/>
    <w:rsid w:val="00F7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866CD-A544-4FFE-A282-DEBCFF24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2B"/>
    <w:pPr>
      <w:spacing w:after="200" w:line="276" w:lineRule="auto"/>
    </w:pPr>
  </w:style>
  <w:style w:type="paragraph" w:styleId="Heading4">
    <w:name w:val="heading 4"/>
    <w:basedOn w:val="Normal"/>
    <w:link w:val="Heading4Char"/>
    <w:uiPriority w:val="9"/>
    <w:qFormat/>
    <w:rsid w:val="00D27F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7F2B"/>
    <w:rPr>
      <w:rFonts w:ascii="Times New Roman" w:eastAsia="Times New Roman" w:hAnsi="Times New Roman" w:cs="Times New Roman"/>
      <w:b/>
      <w:bCs/>
      <w:sz w:val="24"/>
      <w:szCs w:val="24"/>
    </w:rPr>
  </w:style>
  <w:style w:type="paragraph" w:styleId="NormalWeb">
    <w:name w:val="Normal (Web)"/>
    <w:basedOn w:val="Normal"/>
    <w:uiPriority w:val="99"/>
    <w:unhideWhenUsed/>
    <w:rsid w:val="00D27F2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F2B"/>
    <w:rPr>
      <w:i/>
      <w:iCs/>
    </w:rPr>
  </w:style>
  <w:style w:type="character" w:styleId="Hyperlink">
    <w:name w:val="Hyperlink"/>
    <w:basedOn w:val="DefaultParagraphFont"/>
    <w:uiPriority w:val="99"/>
    <w:semiHidden/>
    <w:unhideWhenUsed/>
    <w:rsid w:val="00D27F2B"/>
    <w:rPr>
      <w:color w:val="0000FF"/>
      <w:u w:val="single"/>
    </w:rPr>
  </w:style>
  <w:style w:type="character" w:styleId="Strong">
    <w:name w:val="Strong"/>
    <w:basedOn w:val="DefaultParagraphFont"/>
    <w:uiPriority w:val="22"/>
    <w:qFormat/>
    <w:rsid w:val="00D27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17760" TargetMode="External"/><Relationship Id="rId3" Type="http://schemas.openxmlformats.org/officeDocument/2006/relationships/settings" Target="settings.xml"/><Relationship Id="rId7" Type="http://schemas.openxmlformats.org/officeDocument/2006/relationships/hyperlink" Target="http://vbpl.vn/TW/Pages/vbpq-thuoctinh.aspx?ItemID=70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dl.thutuchanhchinh.vn/TW/Lists/MauDonToKhai/Attachments/227358/m%E1%BA%A5u%20s%E1%BB%91%201.docx" TargetMode="External"/><Relationship Id="rId5" Type="http://schemas.openxmlformats.org/officeDocument/2006/relationships/hyperlink" Target="http://csdl.thutuchanhchinh.vn/TW/Lists/MauDonToKhai/Attachments/227359/m%E1%BA%ABu%20s%E1%BB%91%202.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825</Words>
  <Characters>4709</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2019-12-18T07:06:00Z</dcterms:created>
  <dcterms:modified xsi:type="dcterms:W3CDTF">2019-12-18T07:09:00Z</dcterms:modified>
</cp:coreProperties>
</file>